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9331" w14:textId="2ACDB3AC" w:rsidR="00870AF1" w:rsidRPr="0029056F" w:rsidRDefault="0029056F" w:rsidP="0029056F">
      <w:pPr>
        <w:pStyle w:val="Quote"/>
        <w:rPr>
          <w:rStyle w:val="BookTitle"/>
          <w:sz w:val="40"/>
          <w:szCs w:val="40"/>
        </w:rPr>
      </w:pPr>
      <w:r w:rsidRPr="0029056F">
        <w:rPr>
          <w:rStyle w:val="BookTitle"/>
          <w:sz w:val="40"/>
          <w:szCs w:val="40"/>
        </w:rPr>
        <w:t>Cleobury Mortimer Medical Centre</w:t>
      </w: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1AEA7314" w:rsidR="00870AF1" w:rsidRPr="00634918" w:rsidRDefault="00870AF1" w:rsidP="00870AF1">
      <w:pPr>
        <w:spacing w:after="0" w:line="240" w:lineRule="auto"/>
        <w:jc w:val="center"/>
        <w:rPr>
          <w:rFonts w:ascii="Arial" w:hAnsi="Arial" w:cs="Arial"/>
          <w:b/>
          <w:bCs/>
          <w:sz w:val="32"/>
          <w:szCs w:val="32"/>
          <w:u w:val="single"/>
          <w:lang w:eastAsia="en-GB"/>
        </w:rPr>
      </w:pPr>
      <w:r w:rsidRPr="00634918">
        <w:rPr>
          <w:rFonts w:ascii="Arial" w:hAnsi="Arial" w:cs="Arial"/>
          <w:b/>
          <w:bCs/>
          <w:sz w:val="32"/>
          <w:szCs w:val="32"/>
          <w:u w:val="single"/>
          <w:lang w:eastAsia="en-GB"/>
        </w:rPr>
        <w:t>Co</w:t>
      </w:r>
      <w:r w:rsidR="00634918" w:rsidRPr="00634918">
        <w:rPr>
          <w:rFonts w:ascii="Arial" w:hAnsi="Arial" w:cs="Arial"/>
          <w:b/>
          <w:bCs/>
          <w:sz w:val="32"/>
          <w:szCs w:val="32"/>
          <w:u w:val="single"/>
          <w:lang w:eastAsia="en-GB"/>
        </w:rPr>
        <w:t>v</w:t>
      </w:r>
      <w:r w:rsidRPr="00634918">
        <w:rPr>
          <w:rFonts w:ascii="Arial" w:hAnsi="Arial" w:cs="Arial"/>
          <w:b/>
          <w:bCs/>
          <w:sz w:val="32"/>
          <w:szCs w:val="32"/>
          <w:u w:val="single"/>
          <w:lang w:eastAsia="en-GB"/>
        </w:rPr>
        <w:t>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683110A8" w14:textId="2F4D897A" w:rsidR="001941ED" w:rsidRPr="00634918" w:rsidRDefault="00870AF1" w:rsidP="00634918">
      <w:pPr>
        <w:spacing w:after="160" w:line="259" w:lineRule="auto"/>
        <w:jc w:val="center"/>
        <w:rPr>
          <w:rFonts w:ascii="Arial" w:hAnsi="Arial" w:cs="Arial"/>
          <w:b/>
          <w:bCs/>
          <w:sz w:val="32"/>
          <w:szCs w:val="32"/>
          <w:lang w:eastAsia="en-GB"/>
        </w:rPr>
      </w:pPr>
      <w:r>
        <w:rPr>
          <w:rFonts w:ascii="Arial" w:hAnsi="Arial" w:cs="Arial"/>
          <w:b/>
          <w:bCs/>
          <w:sz w:val="20"/>
          <w:szCs w:val="20"/>
          <w:lang w:eastAsia="en-GB"/>
        </w:rPr>
        <w:br w:type="page"/>
      </w:r>
      <w:r w:rsidR="001941ED" w:rsidRPr="00634918">
        <w:rPr>
          <w:b/>
          <w:bCs/>
          <w:sz w:val="32"/>
          <w:szCs w:val="32"/>
        </w:rPr>
        <w:lastRenderedPageBreak/>
        <w:t>COVID-19 Privacy Notice</w:t>
      </w:r>
    </w:p>
    <w:p w14:paraId="3D58EFD2" w14:textId="0B4BF63A"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8F0EB2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29056F">
        <w:rPr>
          <w:rFonts w:ascii="Arial" w:hAnsi="Arial" w:cs="Arial"/>
          <w:bdr w:val="none" w:sz="0" w:space="0" w:color="auto" w:frame="1"/>
          <w:shd w:val="clear" w:color="auto" w:fill="FFFFFF"/>
        </w:rPr>
        <w:t xml:space="preserve">Cleobury Mortimer Medical Centre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0F4385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29056F">
        <w:rPr>
          <w:rFonts w:ascii="Arial" w:hAnsi="Arial" w:cs="Arial"/>
          <w:bdr w:val="none" w:sz="0" w:space="0" w:color="auto" w:frame="1"/>
          <w:shd w:val="clear" w:color="auto" w:fill="FFFFFF"/>
          <w:lang w:eastAsia="en-GB"/>
        </w:rPr>
        <w:t>Cleobury Mortimer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E20AD2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29056F">
        <w:rPr>
          <w:rFonts w:ascii="Arial" w:hAnsi="Arial" w:cs="Arial"/>
          <w:bdr w:val="none" w:sz="0" w:space="0" w:color="auto" w:frame="1"/>
          <w:shd w:val="clear" w:color="auto" w:fill="FFFFFF"/>
          <w:lang w:eastAsia="en-GB"/>
        </w:rPr>
        <w:t xml:space="preserve">Cleobury Mortimer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6BC62030" w:rsidR="00176F63" w:rsidRPr="0029056F" w:rsidRDefault="00581445" w:rsidP="0029056F">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29056F"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7CEDD1A" w:rsidR="0074682E" w:rsidRDefault="00334BCB" w:rsidP="00634918">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w:t>
    </w:r>
    <w:r w:rsidR="00634918">
      <w:t xml:space="preserve">                        Cleobury Mortimer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74682E" w:rsidRDefault="0074682E"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29056F"/>
    <w:rsid w:val="00334BCB"/>
    <w:rsid w:val="003542CF"/>
    <w:rsid w:val="003D116A"/>
    <w:rsid w:val="0044626B"/>
    <w:rsid w:val="00455C06"/>
    <w:rsid w:val="004D5A94"/>
    <w:rsid w:val="005179E9"/>
    <w:rsid w:val="00581445"/>
    <w:rsid w:val="005C0A26"/>
    <w:rsid w:val="00634918"/>
    <w:rsid w:val="006844C4"/>
    <w:rsid w:val="00685BDE"/>
    <w:rsid w:val="0069109A"/>
    <w:rsid w:val="0074682E"/>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D345C"/>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290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 w:type="character" w:customStyle="1" w:styleId="Heading1Char">
    <w:name w:val="Heading 1 Char"/>
    <w:basedOn w:val="DefaultParagraphFont"/>
    <w:link w:val="Heading1"/>
    <w:uiPriority w:val="9"/>
    <w:rsid w:val="0029056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905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56F"/>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2905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056F"/>
    <w:rPr>
      <w:rFonts w:ascii="Calibri" w:eastAsia="Calibri" w:hAnsi="Calibri" w:cs="Calibri"/>
      <w:i/>
      <w:iCs/>
      <w:color w:val="404040" w:themeColor="text1" w:themeTint="BF"/>
    </w:rPr>
  </w:style>
  <w:style w:type="character" w:styleId="Emphasis">
    <w:name w:val="Emphasis"/>
    <w:basedOn w:val="DefaultParagraphFont"/>
    <w:uiPriority w:val="20"/>
    <w:qFormat/>
    <w:rsid w:val="0029056F"/>
    <w:rPr>
      <w:i/>
      <w:iCs/>
    </w:rPr>
  </w:style>
  <w:style w:type="character" w:styleId="BookTitle">
    <w:name w:val="Book Title"/>
    <w:basedOn w:val="DefaultParagraphFont"/>
    <w:uiPriority w:val="33"/>
    <w:qFormat/>
    <w:rsid w:val="0029056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TOLLEY, Cate (CLEOBURY MORTIMER SURGERY)</cp:lastModifiedBy>
  <cp:revision>3</cp:revision>
  <dcterms:created xsi:type="dcterms:W3CDTF">2023-09-14T09:33:00Z</dcterms:created>
  <dcterms:modified xsi:type="dcterms:W3CDTF">2023-09-19T09:23:00Z</dcterms:modified>
</cp:coreProperties>
</file>